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9A" w:rsidRPr="00D27FDB" w:rsidRDefault="00CB149A" w:rsidP="00F86898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27FD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9A" w:rsidRPr="00D27FDB" w:rsidRDefault="00CB149A" w:rsidP="00962F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27FDB">
        <w:rPr>
          <w:rFonts w:ascii="Times New Roman" w:hAnsi="Times New Roman"/>
          <w:b/>
          <w:noProof/>
          <w:color w:val="000000" w:themeColor="text1"/>
          <w:sz w:val="36"/>
          <w:szCs w:val="36"/>
          <w:lang w:eastAsia="ru-RU"/>
        </w:rPr>
        <w:t xml:space="preserve">А Д М И Н И С Т Р А Ц И Я </w:t>
      </w:r>
    </w:p>
    <w:p w:rsidR="00CB149A" w:rsidRPr="00D27FDB" w:rsidRDefault="00CB149A" w:rsidP="00F868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7FDB">
        <w:rPr>
          <w:rFonts w:ascii="Times New Roman" w:hAnsi="Times New Roman"/>
          <w:b/>
          <w:color w:val="000000" w:themeColor="text1"/>
          <w:sz w:val="24"/>
          <w:szCs w:val="24"/>
        </w:rPr>
        <w:t>городское поселение г. Котово</w:t>
      </w:r>
    </w:p>
    <w:p w:rsidR="00CB149A" w:rsidRPr="00D27FDB" w:rsidRDefault="00CB149A" w:rsidP="00F868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7FDB">
        <w:rPr>
          <w:rFonts w:ascii="Times New Roman" w:hAnsi="Times New Roman"/>
          <w:b/>
          <w:color w:val="000000" w:themeColor="text1"/>
          <w:sz w:val="24"/>
          <w:szCs w:val="24"/>
        </w:rPr>
        <w:t>Волгоградской области</w:t>
      </w:r>
    </w:p>
    <w:p w:rsidR="00F86898" w:rsidRPr="00D27FDB" w:rsidRDefault="00F86898" w:rsidP="00CB149A">
      <w:pPr>
        <w:pStyle w:val="ConsTitle"/>
        <w:widowControl/>
        <w:ind w:left="-851" w:right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B149A" w:rsidRPr="00D27FDB" w:rsidRDefault="00CB149A" w:rsidP="002B5DE7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27FDB">
        <w:rPr>
          <w:rFonts w:ascii="Times New Roman" w:hAnsi="Times New Roman" w:cs="Times New Roman"/>
          <w:color w:val="000000" w:themeColor="text1"/>
          <w:sz w:val="36"/>
          <w:szCs w:val="36"/>
        </w:rPr>
        <w:t>ПОСТАНОВЛЕНИЕ</w:t>
      </w:r>
    </w:p>
    <w:p w:rsidR="00CB149A" w:rsidRPr="00D27FDB" w:rsidRDefault="00CB149A" w:rsidP="00CB149A">
      <w:pPr>
        <w:pStyle w:val="ConsTitle"/>
        <w:widowControl/>
        <w:ind w:left="-851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CB149A" w:rsidRPr="00D27FDB" w:rsidRDefault="005856E9" w:rsidP="00F86898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  </w:t>
      </w:r>
      <w:r w:rsidR="00107BA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F86898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107BA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6898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B149A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44420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BA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49A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</w:p>
    <w:p w:rsidR="00F86898" w:rsidRPr="00D27FDB" w:rsidRDefault="00F86898" w:rsidP="00F86898">
      <w:pPr>
        <w:pStyle w:val="ConsTitle"/>
        <w:widowControl/>
        <w:ind w:left="-851"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муниципальной программы «Молодой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семье – доступное жилье» на 2018 - 20</w:t>
      </w:r>
      <w:r w:rsidR="00107BA9" w:rsidRPr="00D27FDB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CB149A" w:rsidRPr="00D27FDB" w:rsidRDefault="00CB149A" w:rsidP="00CB14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 статьей 14 Федерального закона от 06.10.2003 № 131-ФЗ «Об общих принципах организации местного самоуправления в Российской Федерации»,  пунктом  2  статьи  2 Жилищного  Кодекса Российской Федерации, 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орядком принятия решений о разработке муниципальных программ администрации городского поселения 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        г. 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Котово, их формиро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>вания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реализации, утвержденным постановлением администрации городского поселения г. Котово от 22.12.2014 № 647, администрация  городского поселения г.</w:t>
      </w:r>
      <w:r w:rsidR="00BF323B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Котово 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AC164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1. Утвердить прилагаем</w:t>
      </w:r>
      <w:r w:rsidR="00AC164B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042994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муниципальную программу «Молодой семье - доступное жилье» на 2018 - 20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AC164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 постановлени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городского поселения г. Котово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от 31.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№  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363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 «Об утверждении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Молодой семье – дост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>упное жилье» на 201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8-2020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AD7625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городского поселения г. Котово А.А.Смолянского.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 с момента его подписания, подлежит опубликованию </w:t>
      </w:r>
      <w:r w:rsidR="00AC164B">
        <w:rPr>
          <w:rFonts w:ascii="Times New Roman" w:hAnsi="Times New Roman"/>
          <w:color w:val="000000" w:themeColor="text1"/>
          <w:sz w:val="28"/>
          <w:szCs w:val="28"/>
        </w:rPr>
        <w:t>и обнародованию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297" w:rsidRPr="00D27FDB" w:rsidRDefault="00980297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0297" w:rsidRPr="00D27FDB" w:rsidRDefault="00980297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поселения г.</w:t>
      </w:r>
      <w:r w:rsidR="00AD762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Котово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0A00F4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М.Л.Пьянков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</w:p>
    <w:p w:rsidR="00440F95" w:rsidRPr="00D27FDB" w:rsidRDefault="00440F95" w:rsidP="00440F95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440F95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42994" w:rsidRPr="00D27FDB" w:rsidRDefault="00042994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C164B" w:rsidRDefault="00AC164B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51533" w:rsidRDefault="00751533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C164B" w:rsidRPr="00D27FDB" w:rsidRDefault="00AC164B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C164B" w:rsidRDefault="00440F95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</w:t>
      </w:r>
    </w:p>
    <w:p w:rsidR="00AC164B" w:rsidRDefault="00AC164B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Утверждена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</w:t>
      </w:r>
      <w:r w:rsidR="00AC16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ием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администрации 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поселения г.</w:t>
      </w:r>
      <w:r w:rsidR="004613F8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Котово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980297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856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15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80297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0F4DB6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80297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июня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201</w:t>
      </w:r>
      <w:r w:rsidR="00980297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№ </w:t>
      </w:r>
      <w:r w:rsidR="005856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353</w:t>
      </w:r>
    </w:p>
    <w:p w:rsidR="00F86898" w:rsidRPr="00D27FDB" w:rsidRDefault="00F86898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898" w:rsidRPr="00D27FDB" w:rsidRDefault="00F86898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968" w:rsidRDefault="00AC164B" w:rsidP="00AC164B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</w:p>
    <w:p w:rsidR="00F86898" w:rsidRDefault="00AC164B" w:rsidP="00AC164B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«Молодой семье – доступное жилье»</w:t>
      </w:r>
      <w:r w:rsidR="00376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2018-2020 годы</w:t>
      </w:r>
    </w:p>
    <w:p w:rsidR="00AC164B" w:rsidRPr="00D27FDB" w:rsidRDefault="00AC164B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администрации городского поселения г.Котово</w:t>
      </w: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«Молодой семье – доступное жилье» на 2018 - 20</w:t>
      </w:r>
      <w:r w:rsidR="00980297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F86898" w:rsidRPr="00D27FDB" w:rsidRDefault="00F86898" w:rsidP="00F86898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898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разработки и п</w:t>
      </w:r>
      <w:r w:rsidR="00AC164B">
        <w:rPr>
          <w:rFonts w:ascii="Times New Roman" w:hAnsi="Times New Roman" w:cs="Times New Roman"/>
          <w:color w:val="000000" w:themeColor="text1"/>
          <w:sz w:val="28"/>
          <w:szCs w:val="28"/>
        </w:rPr>
        <w:t>ринятия муниципальной программы</w:t>
      </w:r>
    </w:p>
    <w:p w:rsidR="00980297" w:rsidRPr="00D27FDB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РФ от 17.12.2010 N 1050 (ред. от 30.12.2017)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980297" w:rsidRPr="00D27FDB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Волгоградской обл. от 08.02.2016 № 46-п "Об утверждении государственной программы Волгоградской области "Обеспечение доступным и комфортным жильем и коммунальными услугами жителей Волгоградской области";</w:t>
      </w:r>
    </w:p>
    <w:p w:rsidR="00980297" w:rsidRPr="00D27FDB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Волгоградской обл. от 24.11.2014 № 27-п  "О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 на 2016 - 2020 годы"</w:t>
      </w:r>
    </w:p>
    <w:p w:rsidR="00F86898" w:rsidRPr="00D27FDB" w:rsidRDefault="00CB149A" w:rsidP="00AC164B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B149A" w:rsidRPr="00D27FDB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C164B">
        <w:rPr>
          <w:rFonts w:ascii="Times New Roman" w:hAnsi="Times New Roman"/>
          <w:b/>
          <w:color w:val="000000" w:themeColor="text1"/>
          <w:sz w:val="28"/>
          <w:szCs w:val="28"/>
        </w:rPr>
        <w:t>Исполнитель и заказчик муниципальной программы</w:t>
      </w:r>
    </w:p>
    <w:p w:rsidR="00CB149A" w:rsidRDefault="00AC164B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Исполнитель - о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тдел </w:t>
      </w:r>
      <w:r w:rsidR="00DF2CB7" w:rsidRPr="00D27FDB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 и жилищной политик</w:t>
      </w:r>
      <w:r w:rsidR="00BF323B" w:rsidRPr="00D27FDB">
        <w:rPr>
          <w:rFonts w:ascii="Times New Roman" w:hAnsi="Times New Roman"/>
          <w:color w:val="000000" w:themeColor="text1"/>
          <w:sz w:val="28"/>
          <w:szCs w:val="28"/>
        </w:rPr>
        <w:t>и администрации городского поселения г. Котово</w:t>
      </w:r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>ОМИиЖП</w:t>
      </w:r>
      <w:proofErr w:type="spellEnd"/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F2CB7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164B" w:rsidRPr="00D27FDB" w:rsidRDefault="00AC164B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Заказчик – Администрация городского поселения г. Котово</w:t>
      </w:r>
    </w:p>
    <w:p w:rsidR="00F86898" w:rsidRPr="00D27FDB" w:rsidRDefault="00F86898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Цели, задачи и целевые показатели муниципальной </w:t>
      </w:r>
      <w:r w:rsidR="00AC164B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36"/>
        <w:gridCol w:w="2268"/>
        <w:gridCol w:w="1134"/>
        <w:gridCol w:w="1134"/>
      </w:tblGrid>
      <w:tr w:rsidR="00F96421" w:rsidRPr="00D27FDB" w:rsidTr="00E509D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Цели, задачи муниципальной программы, наименование и единица изменения целевого показателя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F96421" w:rsidRPr="00D27FDB" w:rsidTr="00F964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F96421" w:rsidRPr="00D27FDB" w:rsidTr="00F964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96421" w:rsidRPr="00D27FDB" w:rsidTr="00E509D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    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AC16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 - муниципальная поддержка в решении жилищной проблемы молодых семей, признанных в установленном порядке нуждающимися в улучшении жилищных условий.                                                 </w:t>
            </w:r>
          </w:p>
        </w:tc>
      </w:tr>
      <w:tr w:rsidR="00F96421" w:rsidRPr="00D27FDB" w:rsidTr="003769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 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-     предоставление молодым семьям – участникам Программы социальных выплат на приобретение жилья экономкласса  или строительство индивидуального жилого дома экономкласса, создание условий для привлечения молодыми семьями собственных средств, финансовых средств кредитных и  других организаций, предоставляющих кредиты и займы на приобретение жилья или строительство индивидуального жилого дома, в том числе  ипотечные жилищные кредиты.                                                       </w:t>
            </w:r>
          </w:p>
        </w:tc>
      </w:tr>
      <w:tr w:rsidR="00F96421" w:rsidRPr="00D27FDB" w:rsidTr="0037696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 1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жильем  молодых семей: </w:t>
            </w:r>
          </w:p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2018- </w:t>
            </w:r>
            <w:r w:rsid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2019- 3 </w:t>
            </w:r>
          </w:p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2020- 3</w:t>
            </w:r>
          </w:p>
        </w:tc>
      </w:tr>
      <w:tr w:rsidR="00F96421" w:rsidRPr="00D27FDB" w:rsidTr="00E509D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демографической ситуации в городском поселении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96421" w:rsidRPr="00D27FDB" w:rsidTr="00E509D4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  3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жилищную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сферу дополнительных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финансовых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кредитных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других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организаций, предоставляющих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жилищные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кредиты и займы, в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ипотечные,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 собственные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3324B5"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96421" w:rsidRPr="00D27FDB" w:rsidTr="00E509D4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 w:firstLine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F96421">
            <w:pPr>
              <w:pStyle w:val="ConsPlusCell"/>
              <w:ind w:right="-217" w:firstLine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4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D27FDB" w:rsidRDefault="00F96421" w:rsidP="003324B5">
            <w:pPr>
              <w:pStyle w:val="ConsPlusCell"/>
              <w:ind w:right="-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семейных отношений и снижение социальной напряженности в обществе.</w:t>
            </w:r>
          </w:p>
        </w:tc>
      </w:tr>
    </w:tbl>
    <w:p w:rsidR="00F86898" w:rsidRPr="00D27FDB" w:rsidRDefault="00F86898" w:rsidP="00F96421">
      <w:pPr>
        <w:pStyle w:val="ConsPlusNonformat"/>
        <w:widowControl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. Сроки реа</w:t>
      </w:r>
      <w:r w:rsidR="001E0ED3">
        <w:rPr>
          <w:rFonts w:ascii="Times New Roman" w:hAnsi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CB149A" w:rsidRPr="00D27FDB" w:rsidRDefault="00CB149A" w:rsidP="00F86898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2018-20</w:t>
      </w:r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годы.</w:t>
      </w:r>
    </w:p>
    <w:p w:rsidR="00F86898" w:rsidRPr="00D27FDB" w:rsidRDefault="00F86898" w:rsidP="00F86898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E0ED3" w:rsidRPr="001E0ED3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Объемы и источники финансирования муниципальной программы в целом </w:t>
      </w:r>
      <w:r w:rsidR="001E0ED3">
        <w:rPr>
          <w:rFonts w:ascii="Times New Roman" w:hAnsi="Times New Roman"/>
          <w:b/>
          <w:color w:val="000000" w:themeColor="text1"/>
          <w:sz w:val="28"/>
          <w:szCs w:val="28"/>
        </w:rPr>
        <w:t>и по годам реализации</w:t>
      </w:r>
    </w:p>
    <w:tbl>
      <w:tblPr>
        <w:tblW w:w="976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7"/>
        <w:gridCol w:w="8343"/>
      </w:tblGrid>
      <w:tr w:rsidR="001E0ED3" w:rsidRPr="00D27FDB" w:rsidTr="001E0ED3">
        <w:trPr>
          <w:trHeight w:val="668"/>
          <w:tblCellSpacing w:w="5" w:type="nil"/>
        </w:trPr>
        <w:tc>
          <w:tcPr>
            <w:tcW w:w="1417" w:type="dxa"/>
          </w:tcPr>
          <w:p w:rsidR="001E0ED3" w:rsidRPr="001E0ED3" w:rsidRDefault="001E0ED3" w:rsidP="001E0ED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Года реализации</w:t>
            </w:r>
          </w:p>
        </w:tc>
        <w:tc>
          <w:tcPr>
            <w:tcW w:w="8343" w:type="dxa"/>
          </w:tcPr>
          <w:p w:rsidR="001E0ED3" w:rsidRPr="001E0ED3" w:rsidRDefault="001E0ED3" w:rsidP="001E0ED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финансирования-</w:t>
            </w:r>
          </w:p>
          <w:p w:rsidR="001E0ED3" w:rsidRPr="001E0ED3" w:rsidRDefault="001E0ED3" w:rsidP="001E0E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бюджет городского поселения г. Котово</w:t>
            </w:r>
          </w:p>
        </w:tc>
      </w:tr>
      <w:tr w:rsidR="001E0ED3" w:rsidRPr="00D27FDB" w:rsidTr="00AC164B">
        <w:trPr>
          <w:tblCellSpacing w:w="5" w:type="nil"/>
        </w:trPr>
        <w:tc>
          <w:tcPr>
            <w:tcW w:w="1417" w:type="dxa"/>
          </w:tcPr>
          <w:p w:rsidR="001E0ED3" w:rsidRPr="001E0ED3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343" w:type="dxa"/>
          </w:tcPr>
          <w:p w:rsidR="001E0ED3" w:rsidRPr="001E0ED3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E0ED3" w:rsidRPr="00D27FDB" w:rsidTr="00AC164B">
        <w:trPr>
          <w:tblCellSpacing w:w="5" w:type="nil"/>
        </w:trPr>
        <w:tc>
          <w:tcPr>
            <w:tcW w:w="1417" w:type="dxa"/>
          </w:tcPr>
          <w:p w:rsidR="001E0ED3" w:rsidRPr="001E0ED3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343" w:type="dxa"/>
          </w:tcPr>
          <w:p w:rsidR="001E0ED3" w:rsidRPr="001E0ED3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432 000,00</w:t>
            </w:r>
          </w:p>
        </w:tc>
      </w:tr>
      <w:tr w:rsidR="001E0ED3" w:rsidRPr="00D27FDB" w:rsidTr="00AC164B">
        <w:trPr>
          <w:tblCellSpacing w:w="5" w:type="nil"/>
        </w:trPr>
        <w:tc>
          <w:tcPr>
            <w:tcW w:w="1417" w:type="dxa"/>
          </w:tcPr>
          <w:p w:rsidR="001E0ED3" w:rsidRPr="001E0ED3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343" w:type="dxa"/>
          </w:tcPr>
          <w:p w:rsidR="001E0ED3" w:rsidRPr="001E0ED3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360 000,00</w:t>
            </w:r>
          </w:p>
        </w:tc>
      </w:tr>
      <w:tr w:rsidR="001E0ED3" w:rsidRPr="00D27FDB" w:rsidTr="00AC164B">
        <w:trPr>
          <w:tblCellSpacing w:w="5" w:type="nil"/>
        </w:trPr>
        <w:tc>
          <w:tcPr>
            <w:tcW w:w="1417" w:type="dxa"/>
          </w:tcPr>
          <w:p w:rsidR="001E0ED3" w:rsidRPr="001E0ED3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343" w:type="dxa"/>
          </w:tcPr>
          <w:p w:rsidR="001E0ED3" w:rsidRPr="001E0ED3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792 000,00</w:t>
            </w:r>
          </w:p>
        </w:tc>
      </w:tr>
    </w:tbl>
    <w:p w:rsidR="00D718E5" w:rsidRDefault="004E4866" w:rsidP="004E4866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4866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Предполагается </w:t>
      </w:r>
      <w:proofErr w:type="spellStart"/>
      <w:r w:rsidRPr="004E486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4E4866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 из областного и федерального бюджетов в % соотношении от денежных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4866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предусмотренных городским поселением г. Котово для реализации данных целей.</w:t>
      </w:r>
    </w:p>
    <w:p w:rsidR="00AC164B" w:rsidRPr="00D27FDB" w:rsidRDefault="00AC164B" w:rsidP="004E4866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. Ожидаемые конечные результаты реа</w:t>
      </w:r>
      <w:r w:rsidR="00376968">
        <w:rPr>
          <w:rFonts w:ascii="Times New Roman" w:hAnsi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CB149A" w:rsidRPr="00D27FDB" w:rsidRDefault="00CB149A" w:rsidP="00F86898">
      <w:pPr>
        <w:pStyle w:val="ConsPlusNonformat"/>
        <w:widowControl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жильем </w:t>
      </w:r>
      <w:r w:rsidR="000C4AED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семей</w:t>
      </w:r>
      <w:r w:rsidR="00BE5CCD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B149A" w:rsidRPr="00D27FDB" w:rsidRDefault="00CB149A" w:rsidP="00F86898">
      <w:pPr>
        <w:pStyle w:val="ConsPlusNonformat"/>
        <w:widowControl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  условий для повышения уровня обеспеченности жильем молодых семей;  </w:t>
      </w:r>
    </w:p>
    <w:p w:rsidR="00CB149A" w:rsidRPr="00D27FDB" w:rsidRDefault="00CB149A" w:rsidP="00F8689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собственных средств граждан; </w:t>
      </w:r>
    </w:p>
    <w:p w:rsidR="00F14ADA" w:rsidRDefault="00CB149A" w:rsidP="00E37C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укрепление семейных отношений и снижение социальной напряженности в обществе,  улучшение демографической ситуации в городском поселении г. Котово.</w:t>
      </w:r>
    </w:p>
    <w:p w:rsidR="00AC164B" w:rsidRPr="00D27FDB" w:rsidRDefault="00AC164B" w:rsidP="00E37C52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962F43" w:rsidP="00962F43">
      <w:pPr>
        <w:pStyle w:val="ConsPlusNonformat"/>
        <w:widowControl/>
        <w:ind w:left="-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="00CB149A"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Характеристика </w:t>
      </w:r>
      <w:r w:rsidR="00AC164B">
        <w:rPr>
          <w:rFonts w:ascii="Times New Roman" w:hAnsi="Times New Roman"/>
          <w:b/>
          <w:color w:val="000000" w:themeColor="text1"/>
          <w:sz w:val="28"/>
          <w:szCs w:val="28"/>
        </w:rPr>
        <w:t>сферы реализации муниципальной программы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Жилищная проблема была и остается одной из наиболее острых и сложных проблем. От успехов в ее разрешении во многом определяется стабильность социально-экономической ситуации в городском поселении г. Котово, моральное и физическое здоровье молодых людей.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Создание эффективных механизмов обеспечения жильем молодых семей является особенно актуальным. Дополнительную остроту этой проблеме придает демографический кризис и связанная с ним необходимость стимулирования рождаемости. Особенно остро жилищная проблема стоит перед молодыми семьями. Как показывают результаты социологических опросов, среди причин, по которым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молодые семьи не желают иметь детей, на первом месте стоит отсутствие перспектив на приобретение жилья. Жилищные проблемы оказывают негативные воздействия на другие аспекты социального состояния молодежной среды, в том числе здоровье, образование, рост преступности.</w:t>
      </w:r>
    </w:p>
    <w:p w:rsidR="00CB149A" w:rsidRPr="00D27FDB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 «Молодой семье – доступное жилье» на 2018-2020 годы (далее Программа)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будет реализовываться в форме предоставления молодым семьям, признанным нуждающимися в улучшении жилищных условий и являющимися участниками программы «Молодой семье - доступное жилье» на 2018 – 20</w:t>
      </w:r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годы, социальных выплат на приобретение жилья или строительство индивидуального жилого дома, которые могут направляться, в том числе на уплату первоначального взноса при получении ипотечного жилищного кредита или займа,</w:t>
      </w:r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>за исключением иных процентов, штрафов, комиссий и пеней за просрочку исполнения обязательств по данным кредитам и займам,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 которого жилое помещение переходит в собственность этой молодой семьи.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Особую важность при оценке эффективности</w:t>
      </w:r>
      <w:r w:rsidR="00EB0F0C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имеет комплексность решения задач. Важно не только предоставлять субсидию, но сформировать условия для повышения организованности молодежи и научить ее самостоятельно решать свои проблемы с использованием механизмов самоуправления.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Продуманная и реалистическая политика в отношении молодой семьи, расширение экономической поддержки молодежи может наиболее серьезным образом повлиять на репродуктивное поведение молодежи.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Основные принципы финансовых взаимоотношений молодых семей и государства, положенные в основу настоящей Программы: молодая семья имеет право на государственную поддержку в решении жилищной проблемы.</w:t>
      </w:r>
    </w:p>
    <w:p w:rsidR="00F86898" w:rsidRDefault="00CB149A" w:rsidP="00E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поселения г. Котово (далее Администрация) обеспечивает  функционирование механизма консолидации ресурсов из различных источников с целью финансирования строительства (реконструкции) или приобретения жилья для молодых семей.</w:t>
      </w:r>
    </w:p>
    <w:p w:rsidR="00EB0F0C" w:rsidRPr="00D27FDB" w:rsidRDefault="00EB0F0C" w:rsidP="00E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2. Основные цели, задачи Программы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D27FD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 Основными задачами Программы являются: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обеспечение предоставления молодым семьям – участникам Программы социальных выплат;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привлечения молодыми семьями собственных средств, финансовых средств  кредитных и других организаций, предоставляющих кредиты и займы для приобретения жилья или строительства индивидуального жилого дома, в том числе ипотечные жилищные кредиты. 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D27F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 Основными целями Программы являются:</w:t>
      </w:r>
    </w:p>
    <w:p w:rsidR="00CB149A" w:rsidRPr="00D27FDB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>предоставить социальные выплаты трем молодым семьям для улучшения жилищных условий;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создать условия для повышения уровня обеспеченности жилыми помещениями молодых семей;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привлечь в жилищную сферу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укрепить семейные отношения и снизить уровень социальной напряженности в обществе;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улучшить демографическую ситуацию в городском поселении г. Котово</w:t>
      </w:r>
      <w:r w:rsidR="00EB0F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6898" w:rsidRDefault="00CB149A" w:rsidP="00E37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D27F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 Программа реализуется в 2018 - 20</w:t>
      </w:r>
      <w:r w:rsidR="00F14ADA" w:rsidRPr="00D27FD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годах.</w:t>
      </w:r>
    </w:p>
    <w:p w:rsidR="00EB0F0C" w:rsidRPr="00D27FDB" w:rsidRDefault="00EB0F0C" w:rsidP="00E37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F86898" w:rsidP="00F86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CB149A" w:rsidRPr="00D27FDB">
        <w:rPr>
          <w:rFonts w:ascii="Times New Roman" w:hAnsi="Times New Roman"/>
          <w:b/>
          <w:color w:val="000000" w:themeColor="text1"/>
          <w:sz w:val="28"/>
          <w:szCs w:val="28"/>
        </w:rPr>
        <w:t>Перечень мероприятий 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"/>
        <w:gridCol w:w="1551"/>
        <w:gridCol w:w="1814"/>
        <w:gridCol w:w="993"/>
        <w:gridCol w:w="1020"/>
        <w:gridCol w:w="1134"/>
        <w:gridCol w:w="1417"/>
        <w:gridCol w:w="1276"/>
      </w:tblGrid>
      <w:tr w:rsidR="00E37C52" w:rsidRPr="00D27FDB" w:rsidTr="00AC164B">
        <w:trPr>
          <w:trHeight w:val="640"/>
          <w:tblCellSpacing w:w="5" w:type="nil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96421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  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основного  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Разработчик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реали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</w:t>
            </w:r>
            <w:proofErr w:type="spellEnd"/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</w:t>
            </w: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 годам (тыс. руб.)</w:t>
            </w:r>
          </w:p>
        </w:tc>
      </w:tr>
      <w:tr w:rsidR="00E37C52" w:rsidRPr="00D27FDB" w:rsidTr="00AC164B">
        <w:trPr>
          <w:trHeight w:val="480"/>
          <w:tblCellSpacing w:w="5" w:type="nil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D27FDB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7F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E37C52" w:rsidRPr="00D27FDB" w:rsidTr="00AC164B">
        <w:trPr>
          <w:tblCellSpacing w:w="5" w:type="nil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2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E37C52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D27FDB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37C52" w:rsidRPr="00D27FDB" w:rsidTr="00AC164B">
        <w:trPr>
          <w:cantSplit/>
          <w:trHeight w:val="23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AC164B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7C52" w:rsidRPr="00AC164B" w:rsidRDefault="00E37C52" w:rsidP="00E37C52">
            <w:pPr>
              <w:pStyle w:val="ConsPlusCell"/>
              <w:ind w:left="113"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жильем 3 молодые семьи в год                             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муниципального имущества и жилищной 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D27FDB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AC164B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F86898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AC164B" w:rsidRDefault="00E37C52" w:rsidP="00E509D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D27FDB" w:rsidRDefault="00E37C52" w:rsidP="00F86898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360 000,00</w:t>
            </w:r>
          </w:p>
        </w:tc>
      </w:tr>
    </w:tbl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3.1.Реализация системы мероприятий Программы осуществляется по следующим направлениям: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разработка нормативных правовых документов, необходимых для реализации Программы;</w:t>
      </w:r>
    </w:p>
    <w:p w:rsidR="00CB149A" w:rsidRPr="00D27FDB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>финансовое</w:t>
      </w:r>
      <w:proofErr w:type="spellEnd"/>
      <w:r w:rsidR="00CB149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реализации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организационное обеспечение реализации Программы.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3.2.Основными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3.3.Организационные мероприятия </w:t>
      </w:r>
      <w:proofErr w:type="spellStart"/>
      <w:r w:rsidR="00EB0F0C">
        <w:rPr>
          <w:rFonts w:ascii="Times New Roman" w:hAnsi="Times New Roman"/>
          <w:color w:val="000000" w:themeColor="text1"/>
          <w:sz w:val="28"/>
          <w:szCs w:val="28"/>
        </w:rPr>
        <w:t>ОМИиЖП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предусматривают: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признание молодых семей нуждающимися в улучшении жилищных условий в соответствии с требованиями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проверки документов, представленных молодыми семьями в соответствии с требованиями Программы;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формирование списков молодых семей – участников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ежегодное определение объема бюджетных средств из бюджета городского поселения г.</w:t>
      </w:r>
      <w:r w:rsidR="006608A0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Котово на реализацию мероприятий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конкурсном отборе муниципальных образований Волгоградской области в рамках Программы (условия участия в конкурсном отборе определенны положением определенным постановлением Администрации Волгоградской области № 27-п от 24.11.2014);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заключение соглашений с уполномоченными банками в рамках реализации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заключение соглашения с комитетом </w:t>
      </w:r>
      <w:r w:rsidR="00F96421" w:rsidRPr="00D27FDB">
        <w:rPr>
          <w:rFonts w:ascii="Times New Roman" w:hAnsi="Times New Roman"/>
          <w:color w:val="000000" w:themeColor="text1"/>
          <w:sz w:val="28"/>
          <w:szCs w:val="28"/>
        </w:rPr>
        <w:t>строительства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Волгоградской области (далее комитет) в рамках Программы;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выдачу молодым семьям в установленном порядке свидетельств о праве на получение социальных выплат на приобретение (строительство) жилья</w:t>
      </w:r>
      <w:r w:rsidR="000E328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421" w:rsidRPr="00D27FDB">
        <w:rPr>
          <w:rFonts w:ascii="Times New Roman" w:hAnsi="Times New Roman"/>
          <w:color w:val="000000" w:themeColor="text1"/>
          <w:sz w:val="28"/>
          <w:szCs w:val="28"/>
        </w:rPr>
        <w:t>(далее свидетельство)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объемов бюджетных средств, предусмотренных на эти цели.</w:t>
      </w:r>
    </w:p>
    <w:p w:rsidR="00F86898" w:rsidRPr="00D27FDB" w:rsidRDefault="00F86898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4. Механизм реализации Программы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программы предполагает оказание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финасовой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персональных данных о членах молодой семьи.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Согласие должно быть оформлено в соответствии со </w:t>
      </w:r>
      <w:hyperlink r:id="rId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статьей 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"О персональных данных".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 качестве механизма доведения социальной выплаты до молодой семьи будет использоваться свидетельство, которое выда</w:t>
      </w:r>
      <w:r w:rsidR="00EB0F0C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F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дминистрацией. Свидетельство </w:t>
      </w:r>
      <w:r w:rsidR="00EB0F0C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его владельцем в банк,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Основными источниками финансирования Программы являются: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средства федерального бюджета (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Программы);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средства областного бюджета и местного бюджета;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средства банков и других кредитных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средства молодых семей, используемые для частичной оплаты стоимости приобретаемого жилья или строящегося индивидуального жилья.</w:t>
      </w:r>
    </w:p>
    <w:p w:rsidR="00C509C8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Pr="00D27FDB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0F0C" w:rsidRDefault="00EB0F0C" w:rsidP="00EB0F0C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муниципальной программе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«Молодой семье – доступное жилье» 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2018-2020 годы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поселения г. Котово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Par142"/>
      <w:bookmarkEnd w:id="0"/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МОЛОДЫМ СЕМЬЯМ СОЦИАЛЬНЫХ ВЫПЛАТ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ПРИОБРЕТЕНИЕ (СТРОИТЕЛЬСТВО) ЖИЛЬЯ И ИХ ИСПОЛЬЗОВАНИЯ</w:t>
      </w:r>
      <w:r w:rsidR="007028B7"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(далее Правила)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0840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1.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жилой дом, социальная выплата), а также использования таких выплат.</w:t>
      </w:r>
      <w:bookmarkStart w:id="1" w:name="Par151"/>
      <w:bookmarkEnd w:id="1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 Социальные выплаты используются:</w:t>
      </w:r>
      <w:bookmarkStart w:id="2" w:name="Par152"/>
      <w:bookmarkEnd w:id="2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первичном рынке жилья);</w:t>
      </w:r>
      <w:bookmarkStart w:id="3" w:name="Par154"/>
      <w:bookmarkEnd w:id="3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для оплаты цены договора строительного подряда на строительство жилого дома (далее - договор строительного подряда);</w:t>
      </w:r>
      <w:bookmarkStart w:id="4" w:name="Par155"/>
      <w:bookmarkEnd w:id="4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  <w:bookmarkStart w:id="5" w:name="Par156"/>
      <w:bookmarkEnd w:id="5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  <w:bookmarkStart w:id="6" w:name="Par157"/>
      <w:bookmarkEnd w:id="6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  <w:bookmarkStart w:id="7" w:name="Par158"/>
      <w:bookmarkEnd w:id="7"/>
    </w:p>
    <w:p w:rsidR="000619E9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800840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19E9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неполнородных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братьев и сестер).</w:t>
      </w:r>
    </w:p>
    <w:p w:rsidR="007028B7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3. Право молодой семьи - участницы </w:t>
      </w:r>
      <w:r w:rsidR="000619E9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получение социальной выплаты удостоверяется именным документом</w:t>
      </w:r>
      <w:r w:rsidRPr="00D27FD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свидетельством, которое не является ценной бумагой.</w:t>
      </w:r>
    </w:p>
    <w:p w:rsidR="00800840" w:rsidRPr="00D27FDB" w:rsidRDefault="00800840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Выдача свидетельства осуществляется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в соответствии с выпиской из утвержденного списка молодых семей - претендентов на получение социальных выплат в соответствующем году.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5. Срок действия свидетельства составляет не более 7 месяцев с даты выдачи, указанной в этом свидетельстве.</w:t>
      </w:r>
      <w:bookmarkStart w:id="8" w:name="Par169"/>
      <w:bookmarkEnd w:id="8"/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6. Участником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возраст каждого из супругов либо одного родителя в неполной семье на день принятия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Комитетом строительства Волгоградской области (далее Комитет)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 включении молодой семьи - участницы основного мероприятия в список претендентов на получение социальной выплаты в планируемом году не превышает 35 лет;</w:t>
      </w:r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молодая семья признана нуждающейся в жилом помещении в соответствии с </w:t>
      </w:r>
      <w:hyperlink w:anchor="Par17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bookmarkStart w:id="9" w:name="Par175"/>
      <w:bookmarkEnd w:id="9"/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статьей 51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8. 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</w:t>
      </w:r>
      <w:r w:rsidRPr="00EB0F0C">
        <w:rPr>
          <w:rFonts w:ascii="Times New Roman" w:hAnsi="Times New Roman"/>
          <w:color w:val="000000" w:themeColor="text1"/>
          <w:sz w:val="28"/>
          <w:szCs w:val="28"/>
        </w:rPr>
        <w:t>органом государственной власти субъекта Российской Федерации.</w:t>
      </w:r>
    </w:p>
    <w:p w:rsidR="00800840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9. Право на улучшение жилищных условий с использованием социальной выплаты предоставляется молодой семье только один раз. Участие в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добровольным.</w:t>
      </w:r>
      <w:bookmarkStart w:id="10" w:name="Par180"/>
      <w:bookmarkEnd w:id="10"/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10. Социальная выплата предоставляется в размере не менее:</w:t>
      </w:r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30 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7028B7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б) 35 процентов расчетной (средней) стоимости жилья, определяемой в соответствии с настоящими Правилами, -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676367" w:rsidRPr="00D27FDB" w:rsidRDefault="00676367" w:rsidP="00676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При рождении (усыновлении) ребенка молодой семье - участнице Программы предоставляется дополнительная социальная выплата для погашения части расходов, связанных с приобретением жилья или строительством индивидуального жилого дома, за счет средств бюджета городского поселения г.Котово в размере не менее 5 процентов расчетной (средней) стоимости жилья, исчисленной в порядке, определяемом Комитетом.</w:t>
      </w:r>
    </w:p>
    <w:p w:rsidR="00800840" w:rsidRPr="00D27FDB" w:rsidRDefault="00676367" w:rsidP="003769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Доля социальной выплаты за счет средств бюджета городского поселения г.Котово составляет не менее 10 процентов расчетной (средней) стоимости жилья, доля областного бюджета с учетом субсидий из федерального бюджета в зависимости от состава семьи составляет не более 20 или 25 процентов расчетной (средней) стоимости жилья.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11. В случае использования социальной выплаты на цель, предусмотренную </w:t>
      </w:r>
      <w:hyperlink w:anchor="Par15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"в"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ее размер устанавливается в соответствии с </w:t>
      </w:r>
      <w:hyperlink w:anchor="Par18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10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 ограничивается суммой остатка задолженности по выплате остатка пая.</w:t>
      </w:r>
    </w:p>
    <w:p w:rsidR="00800840" w:rsidRPr="00D27FDB" w:rsidRDefault="00C509C8" w:rsidP="00702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 использования социальной выплаты на цель, предусмотренную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18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10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bookmarkStart w:id="11" w:name="Par185"/>
      <w:bookmarkEnd w:id="11"/>
    </w:p>
    <w:p w:rsidR="00800840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13. Расчет размера социальной выплаты производится исходя из размера общей площади жилого помещения, установленного в соответствии с </w:t>
      </w:r>
      <w:hyperlink w:anchor="Par18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количества членов молодой семьи - участницы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норматива стоимости 1 кв. метра общей площади жилья по </w:t>
      </w:r>
      <w:r w:rsidR="00800840" w:rsidRPr="00D27FDB">
        <w:rPr>
          <w:rFonts w:ascii="Times New Roman" w:hAnsi="Times New Roman"/>
          <w:color w:val="000000" w:themeColor="text1"/>
          <w:sz w:val="28"/>
          <w:szCs w:val="28"/>
        </w:rPr>
        <w:t>городскому поселению г. Котово.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00840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14. 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hyperlink w:anchor="Par18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13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  <w:bookmarkStart w:id="12" w:name="Par188"/>
      <w:bookmarkEnd w:id="12"/>
    </w:p>
    <w:p w:rsidR="00800840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15. Размер общей площади жилого помещения, с учетом которого определяется размер социальной выплаты, составляет:</w:t>
      </w:r>
    </w:p>
    <w:p w:rsidR="00800840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для семьи, состоящей из 2 человек (молодые супруги или один молодой родитель и ребенок), - 42 кв. метра;</w:t>
      </w:r>
    </w:p>
    <w:p w:rsidR="00800840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детей), - по 18 кв. метров на одного человека.</w:t>
      </w:r>
    </w:p>
    <w:p w:rsidR="00C509C8" w:rsidRPr="00D27FDB" w:rsidRDefault="00C509C8" w:rsidP="0080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16. Расчетная (средняя) стоимость жилья, используемая при расчете размера социальной выплаты, определяется по формуле: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СтЖ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= Н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x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РЖ,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C509C8" w:rsidRPr="00D27FDB" w:rsidRDefault="00C509C8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Н - норматив стоимости 1 кв. метра общей площади жилья </w:t>
      </w:r>
      <w:r w:rsidR="00800840" w:rsidRPr="00D27FDB">
        <w:rPr>
          <w:rFonts w:ascii="Times New Roman" w:hAnsi="Times New Roman"/>
          <w:color w:val="000000" w:themeColor="text1"/>
          <w:sz w:val="28"/>
          <w:szCs w:val="28"/>
        </w:rPr>
        <w:t>установленного по городскому поселению г. Котово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76968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РЖ - размер общей площади жилого помещения, определяемый в соответствии с </w:t>
      </w:r>
      <w:hyperlink w:anchor="Par18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C31970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17. Размер социальной выплаты рассчитывается на дату утверждения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  <w:bookmarkStart w:id="13" w:name="Par199"/>
      <w:bookmarkEnd w:id="13"/>
    </w:p>
    <w:p w:rsidR="005F49E4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18. Для участия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использования социальной выплаты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молодая семья подает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hyperlink w:anchor="Par39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документов);</w:t>
      </w:r>
      <w:bookmarkStart w:id="14" w:name="Par201"/>
      <w:bookmarkEnd w:id="14"/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копия документов, удостоверяющих личность каждого члена семьи;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копия свидетельства о браке (на неполную семью не распространяется);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документ, подтверждающий признание молодой семьи нуждающейся в жилых помещениях;</w:t>
      </w:r>
      <w:bookmarkStart w:id="15" w:name="Par204"/>
      <w:bookmarkEnd w:id="15"/>
    </w:p>
    <w:p w:rsidR="00C509C8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>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6C0D51" w:rsidRPr="00D27FDB" w:rsidRDefault="00A252BD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>На основании представленных документов обозначенных подпунктом "</w:t>
      </w:r>
      <w:proofErr w:type="spellStart"/>
      <w:r w:rsidRPr="00AF2FC5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AF2FC5">
        <w:rPr>
          <w:rFonts w:ascii="Times New Roman" w:hAnsi="Times New Roman"/>
          <w:color w:val="000000" w:themeColor="text1"/>
          <w:sz w:val="28"/>
          <w:szCs w:val="28"/>
        </w:rPr>
        <w:t>"   пункта 18 настоящих Правил, администрация составляет заключение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</w:t>
      </w:r>
      <w:r w:rsidR="00AF2FC5" w:rsidRPr="00AF2FC5">
        <w:rPr>
          <w:rFonts w:ascii="Times New Roman" w:hAnsi="Times New Roman"/>
          <w:color w:val="000000" w:themeColor="text1"/>
          <w:sz w:val="28"/>
          <w:szCs w:val="28"/>
        </w:rPr>
        <w:t>ной выплаты для участия в прогр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амме</w:t>
      </w:r>
      <w:r w:rsidR="00AF2FC5"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(приложение).</w:t>
      </w:r>
    </w:p>
    <w:p w:rsidR="005F49E4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Par205"/>
      <w:bookmarkEnd w:id="16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19. Для участия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использования социальной выплаты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молодая семья подает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документы: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hyperlink w:anchor="Par39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Par207"/>
      <w:bookmarkEnd w:id="17"/>
      <w:r w:rsidRPr="00D27FDB">
        <w:rPr>
          <w:rFonts w:ascii="Times New Roman" w:hAnsi="Times New Roman"/>
          <w:color w:val="000000" w:themeColor="text1"/>
          <w:sz w:val="28"/>
          <w:szCs w:val="28"/>
        </w:rPr>
        <w:t>б) копии документов, удостоверяющих личность каждого члена семьи;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копия свидетельства о браке (на неполную семью не распространяется);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  <w:bookmarkStart w:id="18" w:name="Par211"/>
      <w:bookmarkEnd w:id="18"/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>) копия кредитного договора (договора займа);</w:t>
      </w:r>
    </w:p>
    <w:p w:rsidR="005F49E4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w:anchor="Par17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на момент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заключения кредитного договора (договора займа), указанного в </w:t>
      </w:r>
      <w:hyperlink w:anchor="Par2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подпункте 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пункта;</w:t>
      </w:r>
      <w:bookmarkStart w:id="19" w:name="Par214"/>
      <w:bookmarkEnd w:id="19"/>
    </w:p>
    <w:p w:rsidR="00C509C8" w:rsidRPr="00D27FDB" w:rsidRDefault="00C509C8" w:rsidP="005F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376968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20. Документы, предусмотренные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24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32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E24712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организует работу по проверке сведений, содержащихся в документах, предусмотренных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и в 10-дневный срок со дня представления этих документов принимает решение о признании либо об отказе в признании молодой семьи участницей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О принятом решении молодая семья письменно уведомляется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5-дневный срок.</w:t>
      </w:r>
    </w:p>
    <w:p w:rsidR="00C509C8" w:rsidRPr="00D27FDB" w:rsidRDefault="00C509C8" w:rsidP="006C0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Par218"/>
      <w:bookmarkEnd w:id="20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22. Основаниями для отказа в признании молодой семьи участницей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5876C1" w:rsidRPr="00D27FDB" w:rsidRDefault="00C509C8" w:rsidP="00587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несоответствие молодой семьи требованиям, предусмотренным </w:t>
      </w:r>
      <w:hyperlink w:anchor="Par16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6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5876C1" w:rsidRPr="00D27FDB" w:rsidRDefault="00C509C8" w:rsidP="00587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непредставление или представление не в полном объеме документов, предусмотренных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5876C1" w:rsidRPr="00D27FDB" w:rsidRDefault="00C509C8" w:rsidP="00587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недостоверность сведений, содержащихся в представленных документах;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23. Повторное обращение с заявлением об участии 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допускается после устранения оснований для отказа, предусмотренных </w:t>
      </w:r>
      <w:hyperlink w:anchor="Par21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22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24.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 1 июня года, предшествующего планируемому, формирует списки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и представляет эти списки 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25. Порядок формирования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списка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и форма этого списка определяются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В первую очередь в указанные списки включаются молодые семьи - участники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26.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списков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поступивших от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 с учетом средств, которые планируется выделить на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бюджета субъекта Российской Федерации и (или) местных бюджетов на соответствующий год, и (при наличии) средств, предоставляемых организациями, участвующими в реализации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за исключением организаций, предоставляющих жилищные кредиты и займы, формирует и утверждает сводный список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по </w:t>
      </w:r>
      <w:hyperlink r:id="rId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форме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утверждаемой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0D51" w:rsidRPr="00D27FDB" w:rsidRDefault="00C509C8" w:rsidP="00587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27. В случае если на момент формирования списков молодых семей - претендентов на получение социальных выплат в соответствующем году возраст одного из членов молодой семьи превышает 35 лет, такая семья подлежит исключению из списка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программы.</w:t>
      </w:r>
    </w:p>
    <w:p w:rsidR="005876C1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дней со дня утверждения списков молодых семей - претендентов на получение социальных выплат в соответствующем году доводит до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выписк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из утвержденного списка молодых семей - претендентов на получение социальных выплат в соответствующем году.</w:t>
      </w:r>
    </w:p>
    <w:p w:rsidR="00D54BE1" w:rsidRPr="00D27FDB" w:rsidRDefault="005876C1" w:rsidP="00D5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молодых семей - участников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соответствующем году, решение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Комитета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 включения их в список молодых семей - претендентов на получение социальных выплат в соответствующем году.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28(1).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субъекта Российской Федерации, предназначенной для предоставления социальных выплат, направляет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в 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лимитах бюджетных обязательств, предусмотренных на предоставление субсидий из бюджета субъекта Российской Федерации местным бюджетам, предназначенных для предоставления социальных выплат.</w:t>
      </w:r>
    </w:p>
    <w:p w:rsidR="00E24712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29.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5 рабочих дней после получения уведомления о лимитах бюджетных обязательств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оповещает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 и условия получения и использования социальной выплаты, предоставляемой по этому свидетельству.</w:t>
      </w:r>
    </w:p>
    <w:p w:rsidR="008731A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30. В течение одного месяца после получения уведомления о лимитах бюджетных ассигнований из бюджета субъекта Российской Федерации,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 оформление свидетельств и выдачу их молодым семьям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31AE" w:rsidRPr="00D27FDB" w:rsidRDefault="008731AE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может вносить в установленном им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претенденты на получение социальной выплаты не представили необходимые документы для получения свидетельства в установленный </w:t>
      </w:r>
      <w:hyperlink w:anchor="Par244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31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срок, или в течение срока действия свидетельства отказались от получения социальной выплаты, или по иным причинам не смогли воспользоваться этой социальной выплатой.</w:t>
      </w:r>
    </w:p>
    <w:p w:rsidR="00D54BE1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Par244"/>
      <w:bookmarkEnd w:id="21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31. Для получения свидетельства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 з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аявление о выдаче свидетельства (в произвольной форме) и документы:</w:t>
      </w:r>
    </w:p>
    <w:p w:rsidR="00D54BE1" w:rsidRPr="00D27FDB" w:rsidRDefault="00C509C8" w:rsidP="00D5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предусмотренные </w:t>
      </w:r>
      <w:hyperlink w:anchor="Par2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"б"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20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 пункта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- в случае использования социальных выплат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предусмотренные </w:t>
      </w:r>
      <w:hyperlink w:anchor="Par20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"б"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2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21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"ж" пункта 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- в случае использования социальных выплат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  <w:bookmarkStart w:id="22" w:name="Par248"/>
      <w:bookmarkEnd w:id="22"/>
    </w:p>
    <w:p w:rsidR="00C509C8" w:rsidRPr="00D27FDB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32. В заявлении о выдаче свидетельства молодая семья дает письменное согласие на получение социальной выплаты в порядке и на условиях, которые установлены настоящими Правилами.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33.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организует работу по проверке сведений, содержащихся в документах, указанных в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пункте 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E24712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Основаниями для отказа в выдаче свидетельства о праве на получение социальной выплаты являются нарушение установленного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 (жилого дома), приобретенного (построенного) с помощью заемных средств, требованиям </w:t>
      </w:r>
      <w:hyperlink w:anchor="Par26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 38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D54BE1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3" w:name="Par251"/>
      <w:bookmarkEnd w:id="23"/>
      <w:r w:rsidRPr="00D27FDB">
        <w:rPr>
          <w:rFonts w:ascii="Times New Roman" w:hAnsi="Times New Roman"/>
          <w:color w:val="000000" w:themeColor="text1"/>
          <w:sz w:val="28"/>
          <w:szCs w:val="28"/>
        </w:rPr>
        <w:t>34. При возникновении у молодой семьи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стоятельств, потребовавших замены выданного свидетельства, молодая семья представляет в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его замене с указанием обстоятельств, потребовавших такой замены, и приложением документов, подтверждающих эти обстоятельства. </w:t>
      </w:r>
    </w:p>
    <w:p w:rsidR="00D54BE1" w:rsidRPr="00D27FDB" w:rsidRDefault="00C509C8" w:rsidP="00D5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К таким обстоятельствам относятся утрата (хищение) или порча свидетельства и уважительные причины, не позволившие молодой семье представить его в установленный срок в банк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4712" w:rsidRPr="00D27FDB" w:rsidRDefault="00C509C8" w:rsidP="00D5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дней со дня получения заявления о замене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выдает новое свидетельство,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35.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720367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Владелец свидетельства в течение 1 месяца со дня его выдачи сдает это свидетельство в банк.</w:t>
      </w:r>
    </w:p>
    <w:p w:rsidR="00720367" w:rsidRPr="00D27FDB" w:rsidRDefault="00C509C8" w:rsidP="0072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Свидетельство, представленное в банк по истечении месячного срока со дня его выдачи, банком не принимается. По истечении этого срока владелец свидетельства вправе обратиться в порядке, предусмотренном </w:t>
      </w:r>
      <w:hyperlink w:anchor="Par25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в </w:t>
      </w:r>
      <w:r w:rsidR="0072036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с заявлением о его замене.</w:t>
      </w:r>
    </w:p>
    <w:p w:rsidR="00720367" w:rsidRPr="00D27FDB" w:rsidRDefault="00C509C8" w:rsidP="0072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Банк проверяет соответствие данных, указанных в</w:t>
      </w:r>
      <w:r w:rsidR="0072036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данным, содержащимся в документах, удостоверяющих личность владельца этого свидетельства, а также своевременность представления указанного свидетельства в банк.</w:t>
      </w:r>
    </w:p>
    <w:p w:rsidR="00E24712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Банк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 В случае выявления несоответствия данных,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указанных в свидетельстве о праве на получение социальной выплаты, данным, содержащимся в представленных документах, банк отказывает в заключении договора банковского счета и возвращает свидетельство его владельцу.</w:t>
      </w:r>
    </w:p>
    <w:p w:rsidR="00720367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36. В договоре банковского счета устанавливаются условия обслуживания банковского счета, порядок взаимоотношений банка и владельца свидетельства,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поступивших на банковский счет распорядителя счета средств.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Свидетельство, представленное в банк, после заключения договора банковского счета владельцу не возвращается.</w:t>
      </w:r>
    </w:p>
    <w:p w:rsidR="00E24712" w:rsidRPr="00D27FDB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37. Банк представляет ежемесячно, до 10-го числа, в </w:t>
      </w:r>
      <w:r w:rsidR="00B41363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B41363" w:rsidRPr="00D27FDB" w:rsidRDefault="00C509C8" w:rsidP="00B4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Par262"/>
      <w:bookmarkEnd w:id="24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38. Распорядитель счета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 или для строительства жилого дома, отвечающих требованиям, установленным </w:t>
      </w:r>
      <w:hyperlink r:id="rId1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статьями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16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C509C8" w:rsidRPr="00D27FDB" w:rsidRDefault="00C509C8" w:rsidP="00B4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Приобретаемое жилое помещение должно находиться или строительство жилого дома должно осуществляться на территории </w:t>
      </w:r>
      <w:r w:rsidR="00B41363" w:rsidRPr="00D27FDB">
        <w:rPr>
          <w:rFonts w:ascii="Times New Roman" w:hAnsi="Times New Roman"/>
          <w:color w:val="000000" w:themeColor="text1"/>
          <w:sz w:val="28"/>
          <w:szCs w:val="28"/>
        </w:rPr>
        <w:t>Волгоградской области.</w:t>
      </w:r>
    </w:p>
    <w:p w:rsidR="008731AE" w:rsidRPr="00D27FDB" w:rsidRDefault="00C509C8" w:rsidP="0087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социальной выплаты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городском поселении г. Котово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принятия граждан на учет в качестве нуждающихся в жилых помещениях в 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>г. Котово.</w:t>
      </w:r>
    </w:p>
    <w:p w:rsidR="008731AE" w:rsidRPr="00D27FDB" w:rsidRDefault="00C509C8" w:rsidP="0087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социальной выплаты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 помещения, установленной 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>по городскому поселению г. Котово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принятия граждан на учет в качестве нуждающихся в жилых помещениях в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г. Котово.</w:t>
      </w:r>
    </w:p>
    <w:p w:rsidR="008731AE" w:rsidRPr="00D27FDB" w:rsidRDefault="00C509C8" w:rsidP="0087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Молодые семьи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Par271"/>
      <w:bookmarkEnd w:id="25"/>
      <w:r w:rsidRPr="00D27FDB">
        <w:rPr>
          <w:rFonts w:ascii="Times New Roman" w:hAnsi="Times New Roman"/>
          <w:color w:val="000000" w:themeColor="text1"/>
          <w:sz w:val="28"/>
          <w:szCs w:val="28"/>
        </w:rPr>
        <w:t>39. 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8731A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(серия, 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40. В случае приобретения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уполномоченной организацией, осуществляющей оказание услуг для молодых семей, распорядитель счета представляет в банк договор банковского счета и договор с вышеуказанной организацией. Условия примерного договора с уполномоченной организацией утверждаются Министерством строительства и жилищно-коммунального хозяйства Российской Федерации.</w:t>
      </w:r>
    </w:p>
    <w:p w:rsidR="00E24712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договоре с уполномоченной организацией, осуществляющей оказание услуг для молодых семей, указываются реквизиты свидетельства (серия, номер, дата выдачи, орган, выдавший это свидетельство),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первичном рынке жилья.</w:t>
      </w:r>
    </w:p>
    <w:p w:rsidR="009D447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6" w:name="Par279"/>
      <w:bookmarkEnd w:id="26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41. В случае использования социальной выплаты на цель, предусмотренную </w:t>
      </w:r>
      <w:hyperlink w:anchor="Par156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"г"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банк: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договор банковского счета;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кредитный договор (договор займа);</w:t>
      </w:r>
    </w:p>
    <w:p w:rsidR="008731A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в случае приобретения жилого помещения - договор купли-продажи жилого помещения;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г) в случае строительства жилого дома - договор строительного подряда.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Par284"/>
      <w:bookmarkEnd w:id="27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42. В случае использования социальной выплаты на цель, предусмотренную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 следующие документы: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договор банковского счета;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кредитный договор (договор займа);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в) выписка (выписки) из Единого государственного реестра недвижимости о правах на приобретенное жилое помещение или документы на строительство - при незавершенном строительстве жилого дома;</w:t>
      </w:r>
    </w:p>
    <w:p w:rsidR="008731A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43. Приобретаемое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8731A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средств социальной выплаты на цели, предусмотренные </w:t>
      </w:r>
      <w:hyperlink w:anchor="Par156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"г"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допускается оформление приобретенного жилого помещения или построенного жилого дома в собственность одного из супругов или обоих супругов. При этом лицо (лица), на чье имя оформлено право собственности на жилое помещение или жилой дом, представляет в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 с жилого помещения или жилого дома.</w:t>
      </w:r>
    </w:p>
    <w:p w:rsidR="009D447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Par293"/>
      <w:bookmarkEnd w:id="28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44. В случае направления социальной выплаты на цель, предусмотренную </w:t>
      </w:r>
      <w:hyperlink w:anchor="Par15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"в"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банк:</w:t>
      </w:r>
    </w:p>
    <w:p w:rsidR="00C509C8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копию устава кооператива;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выписку из реестра членов кооператива, подтверждающую его членство в кооперативе;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выписку (выписки) из Единого государственного реестра недвижимости о правах кооператива на жилое помещение, которое приобретено для молодой семьи - участницы основного мероприятия;</w:t>
      </w:r>
    </w:p>
    <w:p w:rsidR="008731A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>) копию решения о передаче жилого помещения в пользование члена кооператива.</w:t>
      </w:r>
    </w:p>
    <w:p w:rsidR="009D447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45. В случае направления социальной выплаты на цель, предусмотренную </w:t>
      </w:r>
      <w:hyperlink w:anchor="Par15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"б"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банк:</w:t>
      </w:r>
      <w:bookmarkStart w:id="29" w:name="Par301"/>
      <w:bookmarkEnd w:id="29"/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  <w:bookmarkStart w:id="30" w:name="Par302"/>
      <w:bookmarkEnd w:id="30"/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разрешение на строительство, выданное одному из членов молодой семьи;</w:t>
      </w:r>
    </w:p>
    <w:p w:rsidR="008731A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9D447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1" w:name="Par304"/>
      <w:bookmarkEnd w:id="31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46. Банк в течение 5 рабочих дней со дня получения документов, предусмотренных </w:t>
      </w:r>
      <w:hyperlink w:anchor="Par27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39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28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93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"б" пункта 45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осуществляет проверку содержащихся в них сведений,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включающую проверку соответствия приобретаемого жилого помещения (строящегося жилого дома) </w:t>
      </w:r>
      <w:hyperlink r:id="rId1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условиям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отнесения жилых помещений к жилью экономического класса, утвержденным Министерством строительства и жилищно-коммунального хозяйства Российской Федерации.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вынесения 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w:anchor="Par27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41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8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93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"б" пункта 45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9D447E" w:rsidRPr="00D27FDB" w:rsidRDefault="009D447E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ригиналы договора купли-продажи жилого помещения, документов на строительство и документов, предусмотренных </w:t>
      </w:r>
      <w:hyperlink w:anchor="Par279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41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84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42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93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44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1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2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"б" пункта 45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предусмотренных </w:t>
      </w:r>
      <w:hyperlink w:anchor="Par27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41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8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93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"б" пункта 45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заявку на перечисление бюджетных средств в счет оплаты расходов на основании указанных документов, а также копии указанных документов.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47.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свидетельствах либо при несоответствии представленных документов настоящим Правилам перечисление указанных средств не производится, о чем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указанный срок письменно уведомляет банк.</w:t>
      </w:r>
    </w:p>
    <w:p w:rsidR="008731AE" w:rsidRPr="00D27FDB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48. Перечисление средств с банковского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9D447E" w:rsidRPr="00D27FDB" w:rsidRDefault="00C509C8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49. По соглашению сторон договор банковского счета может быть продлен, если:</w:t>
      </w:r>
    </w:p>
    <w:p w:rsidR="009D447E" w:rsidRPr="00D27FDB" w:rsidRDefault="00C509C8" w:rsidP="009D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до истечения срока действия договора банковского счета банк принял договор купли-продажи жилого помещения, документы на строительство и документы, предусмотренные </w:t>
      </w:r>
      <w:hyperlink w:anchor="Par27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41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8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93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44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30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"б" пункта 45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но оплата не произведена;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государственной регистрации указанного права. В этом случае документ,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документы на жилое помещение или жилой дом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установленном </w:t>
      </w:r>
      <w:hyperlink w:anchor="Par30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46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50. Социальная выплата считается предоставленной участнику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w:anchor="Par15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37696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51. 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 не предъявленные в банк в порядке и сроки, которые установлены настоящими Правилами, считаются недействительными.</w:t>
      </w:r>
    </w:p>
    <w:p w:rsidR="00C509C8" w:rsidRDefault="00C509C8" w:rsidP="00376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52. В случае если владелец свидетельства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</w:t>
      </w:r>
      <w:r w:rsidR="00C31970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</w:t>
      </w:r>
      <w:r w:rsidR="00C31970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042994">
        <w:rPr>
          <w:rFonts w:ascii="Times New Roman" w:hAnsi="Times New Roman"/>
          <w:sz w:val="28"/>
          <w:szCs w:val="28"/>
        </w:rPr>
        <w:t xml:space="preserve"> на общих основаниях.</w:t>
      </w: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6968" w:rsidRDefault="00376968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376968" w:rsidRDefault="00376968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lastRenderedPageBreak/>
        <w:t xml:space="preserve">Приложение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  К Правилам предоставления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молодым семьям социальных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выплат на приобретение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( строительства) жилья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и их использования </w:t>
      </w:r>
    </w:p>
    <w:p w:rsidR="00AF2FC5" w:rsidRDefault="00AF2FC5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AF2FC5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F2FC5">
        <w:rPr>
          <w:rFonts w:ascii="Times New Roman" w:hAnsi="Times New Roman"/>
          <w:b/>
          <w:sz w:val="28"/>
          <w:szCs w:val="28"/>
        </w:rPr>
        <w:t>ЗАКЛЮЧЕНИЕ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(непризнании) молодой семьи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_________________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имеющей достаточные доходы, позволяющие получить кредит, либо иные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>денежные средства для оплаты расчетной (средней) стоимости жилья в части, превышающей размер предоставляемой социальной выплаты для участия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«Молодой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семье – доступное жилье» </w:t>
      </w:r>
    </w:p>
    <w:p w:rsidR="00AF2FC5" w:rsidRDefault="00D727C5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2018-2020 годы.</w:t>
      </w:r>
    </w:p>
    <w:p w:rsidR="00022F2D" w:rsidRPr="00D27FDB" w:rsidRDefault="00022F2D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727C5" w:rsidRDefault="00D727C5" w:rsidP="00D72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7C5">
        <w:rPr>
          <w:rFonts w:ascii="Times New Roman" w:hAnsi="Times New Roman"/>
          <w:sz w:val="28"/>
          <w:szCs w:val="28"/>
        </w:rPr>
        <w:t>Молодой семьей _______________________________</w:t>
      </w:r>
      <w:r w:rsidRPr="00585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«__» _____ 20___ г. поданы следующие документы для признания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«Молодой семье – доступное жилье» на 2018-2020 годы:</w:t>
      </w:r>
    </w:p>
    <w:p w:rsidR="00D727C5" w:rsidRDefault="00D727C5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2F2D" w:rsidRDefault="00022F2D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 семьи ________________ человек (а), в том числе:</w:t>
      </w:r>
    </w:p>
    <w:p w:rsidR="00022F2D" w:rsidRDefault="00022F2D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2F2D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представленных документов молодая семья___________ признана (не признана) молодой семьей, имеющей достаточные доходы, позволяющие получить кредит, либо иные денежные средства для оплаты расчетной (средней)  стоимости жилья в части, превышающей размер предоставляемой </w:t>
      </w:r>
      <w:r w:rsidR="005416CF">
        <w:rPr>
          <w:rFonts w:ascii="Times New Roman" w:hAnsi="Times New Roman"/>
          <w:sz w:val="28"/>
          <w:szCs w:val="28"/>
        </w:rPr>
        <w:t>социальной выплаты для участия в муниципальной программе «Молодой семье – доступное жилье» на 2018-2020 годы.</w:t>
      </w:r>
    </w:p>
    <w:p w:rsidR="00A50AB8" w:rsidRDefault="00A50AB8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0AB8" w:rsidRDefault="00A50AB8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                ________ / ___________________</w:t>
      </w:r>
    </w:p>
    <w:p w:rsidR="00A50AB8" w:rsidRPr="00A50AB8" w:rsidRDefault="00A50AB8" w:rsidP="00022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 лица, осуществившего расчет)                         (подпись)              (расшифровка подписи)</w:t>
      </w:r>
    </w:p>
    <w:p w:rsidR="00AF2FC5" w:rsidRPr="00042994" w:rsidRDefault="00A50AB8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 20___года           М.П.</w:t>
      </w:r>
    </w:p>
    <w:sectPr w:rsidR="00AF2FC5" w:rsidRPr="00042994" w:rsidSect="003769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5BB0"/>
    <w:multiLevelType w:val="hybridMultilevel"/>
    <w:tmpl w:val="74F4322C"/>
    <w:lvl w:ilvl="0" w:tplc="F9086DE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430977C3"/>
    <w:multiLevelType w:val="hybridMultilevel"/>
    <w:tmpl w:val="541063DE"/>
    <w:lvl w:ilvl="0" w:tplc="C1D81642">
      <w:start w:val="3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149A"/>
    <w:rsid w:val="00022F2D"/>
    <w:rsid w:val="00042994"/>
    <w:rsid w:val="000619E9"/>
    <w:rsid w:val="00070C8B"/>
    <w:rsid w:val="0009645B"/>
    <w:rsid w:val="000A00F4"/>
    <w:rsid w:val="000C4AED"/>
    <w:rsid w:val="000E328E"/>
    <w:rsid w:val="000F4DB6"/>
    <w:rsid w:val="000F6871"/>
    <w:rsid w:val="00107BA9"/>
    <w:rsid w:val="001C390E"/>
    <w:rsid w:val="001C6A2F"/>
    <w:rsid w:val="001D093A"/>
    <w:rsid w:val="001E0ED3"/>
    <w:rsid w:val="001F5DC0"/>
    <w:rsid w:val="0022367E"/>
    <w:rsid w:val="00273092"/>
    <w:rsid w:val="002B5DE7"/>
    <w:rsid w:val="002E4B2F"/>
    <w:rsid w:val="002E775F"/>
    <w:rsid w:val="00305905"/>
    <w:rsid w:val="003324B5"/>
    <w:rsid w:val="00354C4A"/>
    <w:rsid w:val="0037265C"/>
    <w:rsid w:val="00376968"/>
    <w:rsid w:val="003A4B06"/>
    <w:rsid w:val="003A682F"/>
    <w:rsid w:val="00404413"/>
    <w:rsid w:val="00420D4A"/>
    <w:rsid w:val="00440F95"/>
    <w:rsid w:val="00444209"/>
    <w:rsid w:val="004613F8"/>
    <w:rsid w:val="00480119"/>
    <w:rsid w:val="00484DAA"/>
    <w:rsid w:val="004D1A90"/>
    <w:rsid w:val="004D2691"/>
    <w:rsid w:val="004E4866"/>
    <w:rsid w:val="004F545A"/>
    <w:rsid w:val="004F7E0E"/>
    <w:rsid w:val="005416CF"/>
    <w:rsid w:val="00560A6D"/>
    <w:rsid w:val="005856E9"/>
    <w:rsid w:val="005876C1"/>
    <w:rsid w:val="00592920"/>
    <w:rsid w:val="005D0036"/>
    <w:rsid w:val="005D6710"/>
    <w:rsid w:val="005F49E4"/>
    <w:rsid w:val="00611667"/>
    <w:rsid w:val="00655BC5"/>
    <w:rsid w:val="006608A0"/>
    <w:rsid w:val="00676367"/>
    <w:rsid w:val="006C0D51"/>
    <w:rsid w:val="007028B7"/>
    <w:rsid w:val="00720367"/>
    <w:rsid w:val="00720B25"/>
    <w:rsid w:val="00751533"/>
    <w:rsid w:val="007A6F71"/>
    <w:rsid w:val="007B5D78"/>
    <w:rsid w:val="00800840"/>
    <w:rsid w:val="008376CA"/>
    <w:rsid w:val="00852A22"/>
    <w:rsid w:val="00872B20"/>
    <w:rsid w:val="008731AE"/>
    <w:rsid w:val="008772E9"/>
    <w:rsid w:val="0089343A"/>
    <w:rsid w:val="008A166E"/>
    <w:rsid w:val="00935763"/>
    <w:rsid w:val="00940372"/>
    <w:rsid w:val="009471B7"/>
    <w:rsid w:val="00962F43"/>
    <w:rsid w:val="00980297"/>
    <w:rsid w:val="009B454E"/>
    <w:rsid w:val="009D447E"/>
    <w:rsid w:val="009F316F"/>
    <w:rsid w:val="00A252BD"/>
    <w:rsid w:val="00A339C4"/>
    <w:rsid w:val="00A50AB8"/>
    <w:rsid w:val="00AB437A"/>
    <w:rsid w:val="00AC164B"/>
    <w:rsid w:val="00AD163C"/>
    <w:rsid w:val="00AD7625"/>
    <w:rsid w:val="00AF2FC5"/>
    <w:rsid w:val="00B41363"/>
    <w:rsid w:val="00B8787F"/>
    <w:rsid w:val="00B93377"/>
    <w:rsid w:val="00BA1A69"/>
    <w:rsid w:val="00BE5CCD"/>
    <w:rsid w:val="00BF323B"/>
    <w:rsid w:val="00C31970"/>
    <w:rsid w:val="00C509C8"/>
    <w:rsid w:val="00C72A52"/>
    <w:rsid w:val="00CA2B06"/>
    <w:rsid w:val="00CB149A"/>
    <w:rsid w:val="00CF70E5"/>
    <w:rsid w:val="00D27FDB"/>
    <w:rsid w:val="00D54BE1"/>
    <w:rsid w:val="00D718E5"/>
    <w:rsid w:val="00D727C5"/>
    <w:rsid w:val="00DA665F"/>
    <w:rsid w:val="00DD7D15"/>
    <w:rsid w:val="00DF2CB7"/>
    <w:rsid w:val="00DF77CA"/>
    <w:rsid w:val="00E24712"/>
    <w:rsid w:val="00E37C52"/>
    <w:rsid w:val="00E509D4"/>
    <w:rsid w:val="00EB0F0C"/>
    <w:rsid w:val="00F02B11"/>
    <w:rsid w:val="00F14ADA"/>
    <w:rsid w:val="00F27BE4"/>
    <w:rsid w:val="00F86898"/>
    <w:rsid w:val="00F96421"/>
    <w:rsid w:val="00FC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CB149A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9A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7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5D7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0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36794427BAD381CED672AD8EF272C5E0F98D027A1572CF94B8EDB300E2AAF3DD653529C9FEC32nE3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536794427BAD381CED672AD8EF272C5E049DDC27A7572CF94B8EDB300E2AAF3DD653529C9FED33nE33I" TargetMode="External"/><Relationship Id="rId12" Type="http://schemas.openxmlformats.org/officeDocument/2006/relationships/hyperlink" Target="consultantplus://offline/ref=0E536794427BAD381CED672AD8EF272C5E079CDE25A2572CF94B8EDB300E2AAF3DD653529C9FEF35nE3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536794427BAD381CED672AD8EF272C5E0F98D027A1572CF94B8EDB300E2AAF3DD653529C9FEE37nE3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536794427BAD381CED672AD8EF272C5E0F98D027A1572CF94B8EDB300E2AAF3DD653529C9FEE36nE3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36794427BAD381CED672AD8EF272C5E0799D826AB572CF94B8EDB300E2AAF3DD653529C9FEF37nE3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F973-6482-43AF-8977-F7E717D3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19</Pages>
  <Words>7733</Words>
  <Characters>44082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PC</cp:lastModifiedBy>
  <cp:revision>9</cp:revision>
  <cp:lastPrinted>2018-06-19T08:44:00Z</cp:lastPrinted>
  <dcterms:created xsi:type="dcterms:W3CDTF">2017-05-16T06:47:00Z</dcterms:created>
  <dcterms:modified xsi:type="dcterms:W3CDTF">2018-06-19T13:00:00Z</dcterms:modified>
</cp:coreProperties>
</file>